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河南宇天能源科技有限公司2023年7月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hint="eastAsia" w:ascii="宋体" w:hAnsi="宋体"/>
          <w:b/>
          <w:position w:val="-1"/>
          <w:lang w:eastAsia="zh-CN"/>
        </w:rPr>
        <w:t>、</w:t>
      </w:r>
      <w:r>
        <w:rPr>
          <w:rFonts w:hint="eastAsia" w:ascii="宋体" w:hAnsi="宋体"/>
          <w:b/>
          <w:position w:val="-1"/>
          <w:lang w:val="en-US" w:eastAsia="zh-CN"/>
        </w:rPr>
        <w:t>噪声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866"/>
        <w:gridCol w:w="638"/>
        <w:gridCol w:w="623"/>
        <w:gridCol w:w="1219"/>
        <w:gridCol w:w="1332"/>
        <w:gridCol w:w="460"/>
        <w:gridCol w:w="1278"/>
        <w:gridCol w:w="2356"/>
        <w:gridCol w:w="2019"/>
        <w:gridCol w:w="672"/>
        <w:gridCol w:w="9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363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3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63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634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2023.07.10</w:t>
            </w:r>
          </w:p>
        </w:tc>
        <w:tc>
          <w:tcPr>
            <w:tcW w:w="3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何超、张栩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5"/>
            <w:bookmarkStart w:id="6" w:name="OLE_LINK3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1430</w:t>
            </w:r>
          </w:p>
        </w:tc>
        <w:tc>
          <w:tcPr>
            <w:tcW w:w="12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3.05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颗粒物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1.4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低浓度颗粒物的测定 重量法 HJ836-2017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二氧化硫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二氧化硫的测定 定电位电解法 HJ57-2017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21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tbl>
      <w:tblPr>
        <w:tblStyle w:val="5"/>
        <w:tblW w:w="145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21"/>
        <w:gridCol w:w="1221"/>
        <w:gridCol w:w="1224"/>
        <w:gridCol w:w="3663"/>
        <w:gridCol w:w="4287"/>
        <w:gridCol w:w="86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检测点位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昼间dB(A)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夜间dB(A)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许可排放浓度限值</w:t>
            </w:r>
          </w:p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（mg/ m3）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测定方法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是否超标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噪声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南厂界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54.6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47.</w:t>
            </w: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西厂界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57.5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46.3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